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241" w:rsidRPr="00D05444" w:rsidRDefault="00085241" w:rsidP="00D05444">
      <w:pPr>
        <w:tabs>
          <w:tab w:val="left" w:pos="1843"/>
        </w:tabs>
        <w:spacing w:after="0" w:line="276" w:lineRule="auto"/>
        <w:jc w:val="both"/>
        <w:rPr>
          <w:rFonts w:ascii="Palatino Linotype" w:hAnsi="Palatino Linotype" w:cs="Tahoma"/>
          <w:sz w:val="24"/>
          <w:szCs w:val="24"/>
        </w:rPr>
      </w:pPr>
    </w:p>
    <w:p w:rsidR="00D05444" w:rsidRPr="00D05444" w:rsidRDefault="003C0497" w:rsidP="00D05444">
      <w:pPr>
        <w:spacing w:after="0" w:line="276" w:lineRule="auto"/>
        <w:jc w:val="both"/>
        <w:rPr>
          <w:rFonts w:ascii="Palatino Linotype" w:hAnsi="Palatino Linotype" w:cs="Tahoma"/>
        </w:rPr>
      </w:pPr>
      <w:r>
        <w:rPr>
          <w:rFonts w:ascii="Palatino Linotype" w:hAnsi="Palatino Linotype" w:cs="Tahoma"/>
        </w:rPr>
        <w:t>OPINIÓN</w:t>
      </w:r>
      <w:r w:rsidR="00D05444" w:rsidRPr="00D05444">
        <w:rPr>
          <w:rFonts w:ascii="Palatino Linotype" w:hAnsi="Palatino Linotype" w:cs="Tahoma"/>
        </w:rPr>
        <w:t xml:space="preserve"> PARTICULAR QUE FORMULA EL COMISIONADO LUIS GUSTAVO PARRA NORIEGA, EN RELACIÓN CON LA RESOLUCIÓN DEL RECURSO DE REVISIÓN 03824/INFOEM/IP/RR/2018 PROMOVIDO EN CONTRA DE LA COMISIÓN PARA LA PROTECCIÓN CONTRA RIESGOS SANITARIOS DEL ESTADO DE MÉXICO.</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 xml:space="preserve">En términos de lo dispuesto por el artículo 14, fracción XI, del Reglamento Interior del Instituto de Transparencia, Acceso a la Información Pública y Protección de Datos Personales del Estado de México y </w:t>
      </w:r>
      <w:r w:rsidR="003C0497">
        <w:rPr>
          <w:rFonts w:ascii="Palatino Linotype" w:hAnsi="Palatino Linotype" w:cs="Tahoma"/>
        </w:rPr>
        <w:t>Municipios; 31, segundo párrafo</w:t>
      </w:r>
      <w:r w:rsidRPr="00D05444">
        <w:rPr>
          <w:rFonts w:ascii="Palatino Linotype" w:hAnsi="Palatino Linotype" w:cs="Tahoma"/>
        </w:rPr>
        <w:t xml:space="preserve"> y 44 último párrafo, de los Lineamientos de las Sesiones del Pleno del Instituto de Transparencia, Acceso a la Información Pública y Protección de Datos Personales del Estado de México y Municipios, emito el presente voto particular por no compartir en su totalidad las consideraciones que sustentan la </w:t>
      </w:r>
      <w:r w:rsidR="00F637C1">
        <w:rPr>
          <w:rFonts w:ascii="Palatino Linotype" w:hAnsi="Palatino Linotype" w:cs="Tahoma"/>
        </w:rPr>
        <w:t>R</w:t>
      </w:r>
      <w:r w:rsidR="00F637C1" w:rsidRPr="00D05444">
        <w:rPr>
          <w:rFonts w:ascii="Palatino Linotype" w:hAnsi="Palatino Linotype" w:cs="Tahoma"/>
        </w:rPr>
        <w:t xml:space="preserve">esolución </w:t>
      </w:r>
      <w:r w:rsidRPr="00D05444">
        <w:rPr>
          <w:rFonts w:ascii="Palatino Linotype" w:hAnsi="Palatino Linotype" w:cs="Tahoma"/>
        </w:rPr>
        <w:t xml:space="preserve">del </w:t>
      </w:r>
      <w:r w:rsidR="00F637C1">
        <w:rPr>
          <w:rFonts w:ascii="Palatino Linotype" w:hAnsi="Palatino Linotype" w:cs="Tahoma"/>
        </w:rPr>
        <w:t>R</w:t>
      </w:r>
      <w:r w:rsidR="00F637C1" w:rsidRPr="00D05444">
        <w:rPr>
          <w:rFonts w:ascii="Palatino Linotype" w:hAnsi="Palatino Linotype" w:cs="Tahoma"/>
        </w:rPr>
        <w:t xml:space="preserve">ecurso </w:t>
      </w:r>
      <w:r w:rsidRPr="00D05444">
        <w:rPr>
          <w:rFonts w:ascii="Palatino Linotype" w:hAnsi="Palatino Linotype" w:cs="Tahoma"/>
        </w:rPr>
        <w:t xml:space="preserve">de </w:t>
      </w:r>
      <w:r w:rsidR="00F637C1">
        <w:rPr>
          <w:rFonts w:ascii="Palatino Linotype" w:hAnsi="Palatino Linotype" w:cs="Tahoma"/>
        </w:rPr>
        <w:t>R</w:t>
      </w:r>
      <w:r w:rsidR="00F637C1" w:rsidRPr="00D05444">
        <w:rPr>
          <w:rFonts w:ascii="Palatino Linotype" w:hAnsi="Palatino Linotype" w:cs="Tahoma"/>
        </w:rPr>
        <w:t xml:space="preserve">evisión </w:t>
      </w:r>
      <w:r w:rsidRPr="00D05444">
        <w:rPr>
          <w:rFonts w:ascii="Palatino Linotype" w:hAnsi="Palatino Linotype" w:cs="Tahoma"/>
        </w:rPr>
        <w:t>que nos ocupa.</w:t>
      </w:r>
    </w:p>
    <w:p w:rsidR="00D05444" w:rsidRPr="00D05444" w:rsidRDefault="00D05444" w:rsidP="00D05444">
      <w:pPr>
        <w:spacing w:after="0" w:line="276" w:lineRule="auto"/>
        <w:jc w:val="both"/>
        <w:rPr>
          <w:rFonts w:ascii="Palatino Linotype" w:hAnsi="Palatino Linotype" w:cs="Tahoma"/>
        </w:rPr>
      </w:pPr>
    </w:p>
    <w:p w:rsidR="00D05444" w:rsidRPr="00D05444" w:rsidRDefault="00F637C1" w:rsidP="00D05444">
      <w:pPr>
        <w:spacing w:after="0" w:line="276" w:lineRule="auto"/>
        <w:jc w:val="both"/>
        <w:rPr>
          <w:rFonts w:ascii="Palatino Linotype" w:hAnsi="Palatino Linotype" w:cs="Tahoma"/>
        </w:rPr>
      </w:pPr>
      <w:r>
        <w:rPr>
          <w:rFonts w:ascii="Palatino Linotype" w:hAnsi="Palatino Linotype" w:cs="Tahoma"/>
        </w:rPr>
        <w:t xml:space="preserve">Previo a las consideraciones de derecho que expresaré en esta Opinión Particular, es importante precisar que mi voto a favor de la misma, es porque coincido en la determinación de la Ponencia Resolutora de Sobreseer el Recurso de Revisión; sin embargo, </w:t>
      </w:r>
      <w:r w:rsidR="00D05444" w:rsidRPr="00D05444">
        <w:rPr>
          <w:rFonts w:ascii="Palatino Linotype" w:hAnsi="Palatino Linotype" w:cs="Tahoma"/>
        </w:rPr>
        <w:t xml:space="preserve">difiero en </w:t>
      </w:r>
      <w:r>
        <w:rPr>
          <w:rFonts w:ascii="Palatino Linotype" w:hAnsi="Palatino Linotype" w:cs="Tahoma"/>
        </w:rPr>
        <w:t xml:space="preserve">el </w:t>
      </w:r>
      <w:r w:rsidR="00D05444" w:rsidRPr="00D05444">
        <w:rPr>
          <w:rFonts w:ascii="Palatino Linotype" w:hAnsi="Palatino Linotype" w:cs="Tahoma"/>
        </w:rPr>
        <w:t xml:space="preserve">señalamiento relacionado con la competencia de este Instituto en materia de control constitucional que en una cuestión de fondo </w:t>
      </w:r>
      <w:r>
        <w:rPr>
          <w:rFonts w:ascii="Palatino Linotype" w:hAnsi="Palatino Linotype" w:cs="Tahoma"/>
        </w:rPr>
        <w:t xml:space="preserve">que se presenta </w:t>
      </w:r>
      <w:r w:rsidR="00D05444" w:rsidRPr="00D05444">
        <w:rPr>
          <w:rFonts w:ascii="Palatino Linotype" w:hAnsi="Palatino Linotype" w:cs="Tahoma"/>
        </w:rPr>
        <w:t>en el estudio de la Litis que se resolvió,</w:t>
      </w:r>
      <w:r>
        <w:rPr>
          <w:rFonts w:ascii="Palatino Linotype" w:hAnsi="Palatino Linotype" w:cs="Tahoma"/>
        </w:rPr>
        <w:t xml:space="preserve"> por lo que</w:t>
      </w:r>
      <w:r w:rsidR="00D05444" w:rsidRPr="00D05444">
        <w:rPr>
          <w:rFonts w:ascii="Palatino Linotype" w:hAnsi="Palatino Linotype" w:cs="Tahoma"/>
        </w:rPr>
        <w:t xml:space="preserve"> prescindiré de efectuar una síntesis de las actuaciones de las partes y abordaré de forma directa el tema que motivó </w:t>
      </w:r>
      <w:r>
        <w:rPr>
          <w:rFonts w:ascii="Palatino Linotype" w:hAnsi="Palatino Linotype" w:cs="Tahoma"/>
        </w:rPr>
        <w:t>la</w:t>
      </w:r>
      <w:r w:rsidRPr="00D05444">
        <w:rPr>
          <w:rFonts w:ascii="Palatino Linotype" w:hAnsi="Palatino Linotype" w:cs="Tahoma"/>
        </w:rPr>
        <w:t xml:space="preserve"> </w:t>
      </w:r>
      <w:r w:rsidR="00D05444" w:rsidRPr="00D05444">
        <w:rPr>
          <w:rFonts w:ascii="Palatino Linotype" w:hAnsi="Palatino Linotype" w:cs="Tahoma"/>
        </w:rPr>
        <w:t>presente.</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 xml:space="preserve">Así, en el párrafo identificado con el número 48 (cuarenta y ocho) en la </w:t>
      </w:r>
      <w:r w:rsidR="004B1DF6">
        <w:rPr>
          <w:rFonts w:ascii="Palatino Linotype" w:hAnsi="Palatino Linotype" w:cs="Tahoma"/>
        </w:rPr>
        <w:t>R</w:t>
      </w:r>
      <w:r w:rsidRPr="00D05444">
        <w:rPr>
          <w:rFonts w:ascii="Palatino Linotype" w:hAnsi="Palatino Linotype" w:cs="Tahoma"/>
        </w:rPr>
        <w:t xml:space="preserve">esolución de marras, se dice que en la literatura se ha vislumbrado la función de control constitucional que ejercen órganos distintos a los jurisdiccionales; función que, a decir de dicho párrafo, ejerce este Instituto al sujetar las acciones de los </w:t>
      </w:r>
      <w:r w:rsidR="004B1DF6">
        <w:rPr>
          <w:rFonts w:ascii="Palatino Linotype" w:hAnsi="Palatino Linotype" w:cs="Tahoma"/>
        </w:rPr>
        <w:t>s</w:t>
      </w:r>
      <w:r w:rsidRPr="00D05444">
        <w:rPr>
          <w:rFonts w:ascii="Palatino Linotype" w:hAnsi="Palatino Linotype" w:cs="Tahoma"/>
        </w:rPr>
        <w:t xml:space="preserve">ujetos </w:t>
      </w:r>
      <w:r w:rsidR="004B1DF6">
        <w:rPr>
          <w:rFonts w:ascii="Palatino Linotype" w:hAnsi="Palatino Linotype" w:cs="Tahoma"/>
        </w:rPr>
        <w:t>o</w:t>
      </w:r>
      <w:r w:rsidR="004B1DF6" w:rsidRPr="00D05444">
        <w:rPr>
          <w:rFonts w:ascii="Palatino Linotype" w:hAnsi="Palatino Linotype" w:cs="Tahoma"/>
        </w:rPr>
        <w:t xml:space="preserve">bligados </w:t>
      </w:r>
      <w:r w:rsidRPr="00D05444">
        <w:rPr>
          <w:rFonts w:ascii="Palatino Linotype" w:hAnsi="Palatino Linotype" w:cs="Tahoma"/>
        </w:rPr>
        <w:t>al cumplimiento de las formalidades señaladas en las disposiciones constitucionales y legales que tutelan el derecho humano de acceso a información pública. En ese sentido, el citado párrafo concluye diciendo que lo anterior se trata de un control constitucional en la modalidad de control difuso.</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 xml:space="preserve">Ahora bien, de manera muy sucinta, para comprender las implicaciones que conlleva el control constitucional en su modalidad de control difuso, conviene, en primer lugar, definir que es el control constitucional. </w:t>
      </w:r>
      <w:r w:rsidR="004B1DF6">
        <w:rPr>
          <w:rFonts w:ascii="Palatino Linotype" w:hAnsi="Palatino Linotype" w:cs="Tahoma"/>
        </w:rPr>
        <w:t>E</w:t>
      </w:r>
      <w:r w:rsidRPr="00D05444">
        <w:rPr>
          <w:rFonts w:ascii="Palatino Linotype" w:hAnsi="Palatino Linotype" w:cs="Tahoma"/>
        </w:rPr>
        <w:t xml:space="preserve">n términos simples, el control constitucional es el conjunto </w:t>
      </w:r>
      <w:r w:rsidRPr="00D05444">
        <w:rPr>
          <w:rFonts w:ascii="Palatino Linotype" w:hAnsi="Palatino Linotype" w:cs="Tahoma"/>
        </w:rPr>
        <w:lastRenderedPageBreak/>
        <w:t>de instrumentos procesales cuyo objetivo es hacer valer el contenido, los alcances y la evolución de la Constitución</w:t>
      </w:r>
      <w:r w:rsidRPr="00D05444">
        <w:rPr>
          <w:rFonts w:ascii="Palatino Linotype" w:hAnsi="Palatino Linotype" w:cs="Tahoma"/>
          <w:vertAlign w:val="superscript"/>
        </w:rPr>
        <w:footnoteReference w:id="1"/>
      </w:r>
      <w:r w:rsidRPr="00D05444">
        <w:rPr>
          <w:rFonts w:ascii="Palatino Linotype" w:hAnsi="Palatino Linotype" w:cs="Tahoma"/>
        </w:rPr>
        <w:t>.</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Dicho control, de conformidad con la teoría en la materia</w:t>
      </w:r>
      <w:r w:rsidRPr="00D05444">
        <w:rPr>
          <w:rFonts w:ascii="Palatino Linotype" w:hAnsi="Palatino Linotype" w:cs="Tahoma"/>
          <w:vertAlign w:val="superscript"/>
        </w:rPr>
        <w:footnoteReference w:id="2"/>
      </w:r>
      <w:r w:rsidRPr="00D05444">
        <w:rPr>
          <w:rFonts w:ascii="Palatino Linotype" w:hAnsi="Palatino Linotype" w:cs="Tahoma"/>
        </w:rPr>
        <w:t>, es ejercido por autoridades jurisdiccionales y se divide en dos vertientes: el concentrado y el difuso, siendo su principal diferencia que el primero lo ejercen autoridades jurisdiccionales especializadas</w:t>
      </w:r>
      <w:r w:rsidR="00966E2F">
        <w:rPr>
          <w:rFonts w:ascii="Palatino Linotype" w:hAnsi="Palatino Linotype" w:cs="Tahoma"/>
        </w:rPr>
        <w:t xml:space="preserve"> en materia constitucional creadas </w:t>
      </w:r>
      <w:r w:rsidR="00966E2F">
        <w:rPr>
          <w:rFonts w:ascii="Palatino Linotype" w:hAnsi="Palatino Linotype" w:cs="Tahoma"/>
          <w:i/>
        </w:rPr>
        <w:t>ex profeso</w:t>
      </w:r>
      <w:r w:rsidRPr="00D05444">
        <w:rPr>
          <w:rFonts w:ascii="Palatino Linotype" w:hAnsi="Palatino Linotype" w:cs="Tahoma"/>
        </w:rPr>
        <w:t>, mientras que el segundo lo ejercen todo tipo de autoridades jurisdiccionales ordinarias</w:t>
      </w:r>
      <w:r w:rsidR="00966E2F">
        <w:rPr>
          <w:rFonts w:ascii="Palatino Linotype" w:hAnsi="Palatino Linotype" w:cs="Tahoma"/>
        </w:rPr>
        <w:t xml:space="preserve">; asimismo, que el control concentrado tiene efectos generales directos y el difuso </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A efecto de ahondar más en el tema, cabe traer a colación la Tesis Aislada (Constitucional) P. LXX/2011 (9a.), del Pleno de la Suprema Corte de Justicia de la Nación, visible en la página 557 del Semanario Judicial de la Federación y su Gaceta, Tomo I, Libro III, diciembre de 2011, Décima Época, de rubro y texto siguientes:</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ind w:left="567" w:right="567"/>
        <w:jc w:val="both"/>
        <w:rPr>
          <w:rFonts w:ascii="Palatino Linotype" w:hAnsi="Palatino Linotype" w:cs="Tahoma"/>
          <w:b/>
          <w:sz w:val="20"/>
          <w:szCs w:val="20"/>
        </w:rPr>
      </w:pPr>
      <w:r w:rsidRPr="00D05444">
        <w:rPr>
          <w:rFonts w:ascii="Palatino Linotype" w:hAnsi="Palatino Linotype" w:cs="Tahoma"/>
          <w:b/>
          <w:sz w:val="20"/>
          <w:szCs w:val="20"/>
        </w:rPr>
        <w:t>SISTEMA DE CONTROL CONSTITUCIONAL EN EL ORDEN JURÍDICO MEXICANO.</w:t>
      </w:r>
    </w:p>
    <w:p w:rsidR="00D05444" w:rsidRPr="00D05444" w:rsidRDefault="00D05444" w:rsidP="00D05444">
      <w:pPr>
        <w:spacing w:after="0" w:line="276" w:lineRule="auto"/>
        <w:ind w:left="567" w:right="567"/>
        <w:jc w:val="both"/>
        <w:rPr>
          <w:rFonts w:ascii="Palatino Linotype" w:hAnsi="Palatino Linotype" w:cs="Tahoma"/>
          <w:sz w:val="20"/>
          <w:szCs w:val="20"/>
        </w:rPr>
      </w:pPr>
    </w:p>
    <w:p w:rsidR="00D05444" w:rsidRDefault="00D05444" w:rsidP="00D05444">
      <w:pPr>
        <w:spacing w:after="0" w:line="276" w:lineRule="auto"/>
        <w:ind w:left="567" w:right="567"/>
        <w:jc w:val="both"/>
        <w:rPr>
          <w:rFonts w:ascii="Palatino Linotype" w:hAnsi="Palatino Linotype" w:cs="Tahoma"/>
          <w:b/>
          <w:sz w:val="20"/>
          <w:szCs w:val="20"/>
        </w:rPr>
      </w:pPr>
      <w:r w:rsidRPr="00D05444">
        <w:rPr>
          <w:rFonts w:ascii="Palatino Linotype" w:hAnsi="Palatino Linotype" w:cs="Tahoma"/>
          <w:sz w:val="20"/>
          <w:szCs w:val="20"/>
        </w:rPr>
        <w:t xml:space="preserve">Actualmente existen dos grandes vertientes dentro del modelo de control de constitucionalidad en el orden jurídico mexicano, que son acordes con el modelo de control de convencionalidad ex officio en materia de derechos humanos a cargo del Poder Judicial. En primer término, el control concentrado en los órganos del Poder Judicial de la Federación con vías directas de control: acciones de inconstitucionalidad, controversias constitucionales y amparo directo e indirecto; en segundo término, </w:t>
      </w:r>
      <w:r w:rsidRPr="00AE33E7">
        <w:rPr>
          <w:rFonts w:ascii="Palatino Linotype" w:hAnsi="Palatino Linotype" w:cs="Tahoma"/>
          <w:b/>
          <w:sz w:val="20"/>
          <w:szCs w:val="20"/>
        </w:rPr>
        <w:t>el control por parte del resto de los jueces del país en forma incidental durante los procesos ordinarios en los que son competentes</w:t>
      </w:r>
      <w:r w:rsidRPr="00D05444">
        <w:rPr>
          <w:rFonts w:ascii="Palatino Linotype" w:hAnsi="Palatino Linotype" w:cs="Tahoma"/>
          <w:sz w:val="20"/>
          <w:szCs w:val="20"/>
        </w:rPr>
        <w:t xml:space="preserve">, esto es, sin necesidad de abrir un expediente por cuerda separada. Ambas vertientes de control se ejercen de manera independiente y la existencia de este modelo general de control no requiere que todos los casos sean revisables e impugnables en ambas. Es un sistema concentrado en una parte y difuso en otra, lo que permite que sean los criterios e interpretaciones constitucionales, ya sea por declaración de inconstitucionalidad o por inaplicación, de los que conozca la Suprema Corte para que determine cuál es la interpretación </w:t>
      </w:r>
      <w:r w:rsidRPr="00D05444">
        <w:rPr>
          <w:rFonts w:ascii="Palatino Linotype" w:hAnsi="Palatino Linotype" w:cs="Tahoma"/>
          <w:sz w:val="20"/>
          <w:szCs w:val="20"/>
        </w:rPr>
        <w:lastRenderedPageBreak/>
        <w:t xml:space="preserve">constitucional que finalmente debe prevalecer en el orden jurídico nacional. Finalmente, debe señalarse que </w:t>
      </w:r>
      <w:r w:rsidRPr="00AE33E7">
        <w:rPr>
          <w:rFonts w:ascii="Palatino Linotype" w:hAnsi="Palatino Linotype" w:cs="Tahoma"/>
          <w:b/>
          <w:sz w:val="20"/>
          <w:szCs w:val="20"/>
        </w:rPr>
        <w:t>todas las demás autoridades del país en el ámbito de sus competencias tienen la obligación de aplicar las normas correspondientes haciendo la interpretación más favorable a la persona para lograr su protección más amplia, sin tener la posibilidad de inaplicar o declarar su incompatibilidad.</w:t>
      </w:r>
    </w:p>
    <w:p w:rsidR="009541FB" w:rsidRPr="00AE33E7" w:rsidRDefault="009541FB" w:rsidP="00D05444">
      <w:pPr>
        <w:spacing w:after="0" w:line="276" w:lineRule="auto"/>
        <w:ind w:left="567" w:right="567"/>
        <w:jc w:val="both"/>
        <w:rPr>
          <w:rFonts w:ascii="Palatino Linotype" w:hAnsi="Palatino Linotype" w:cs="Tahoma"/>
          <w:sz w:val="20"/>
          <w:szCs w:val="20"/>
        </w:rPr>
      </w:pPr>
      <w:r>
        <w:rPr>
          <w:rFonts w:ascii="Palatino Linotype" w:hAnsi="Palatino Linotype" w:cs="Tahoma"/>
          <w:sz w:val="20"/>
          <w:szCs w:val="20"/>
        </w:rPr>
        <w:t>(Énfasis añadido)</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 xml:space="preserve">Con base en lo anterior, se puede decir que el Sistema Jurídico Mexicano opera bajo dos modalidades de control constitucional, el concentrado y el difuso, el primero encargado a jueces especializados </w:t>
      </w:r>
      <w:r w:rsidR="00436ECC">
        <w:rPr>
          <w:rFonts w:ascii="Palatino Linotype" w:hAnsi="Palatino Linotype" w:cs="Tahoma"/>
        </w:rPr>
        <w:t xml:space="preserve">en materia constitucional </w:t>
      </w:r>
      <w:r w:rsidRPr="00D05444">
        <w:rPr>
          <w:rFonts w:ascii="Palatino Linotype" w:hAnsi="Palatino Linotype" w:cs="Tahoma"/>
        </w:rPr>
        <w:t xml:space="preserve">con vías directas de control: acciones de inconstitucionalidad, controversias constitucionales y amparo directo e indirecto, el segundo; encargado a cualquier juez del país en forma incidental durante los procesos ordinarios en los que son competentes. </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Es decir, tal como se señaló líneas arriba, el ejercicio del control de constitucionalidad en México coincide con la teoría y se da en dos vertientes: el concentrado, denominado así porque lo ejercen autoridades jurisdiccionales especializadas con facultad exclusiva para resolver sobre la inconstitucionalidad de una norma en toda su generalidad y; el difuso, que lo ejerce cualquier autoridad jurisdiccional ordinaria que resuelve la inaplicabilidad de una norma por resultar inconstitucional su aplicación al asunto concreto que conoce.</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Visto entonces</w:t>
      </w:r>
      <w:r w:rsidR="00436ECC">
        <w:rPr>
          <w:rFonts w:ascii="Palatino Linotype" w:hAnsi="Palatino Linotype" w:cs="Tahoma"/>
        </w:rPr>
        <w:t>,</w:t>
      </w:r>
      <w:r w:rsidRPr="00D05444">
        <w:rPr>
          <w:rFonts w:ascii="Palatino Linotype" w:hAnsi="Palatino Linotype" w:cs="Tahoma"/>
        </w:rPr>
        <w:t xml:space="preserve"> el control difuso de constitucionalidad es ejercido por cualquier autoridad jurisdiccional ordinaria y que su consecuencia es la inaplicabilidad de una norma</w:t>
      </w:r>
      <w:r w:rsidR="00436ECC">
        <w:rPr>
          <w:rFonts w:ascii="Palatino Linotype" w:hAnsi="Palatino Linotype" w:cs="Tahoma"/>
        </w:rPr>
        <w:t xml:space="preserve"> (entre las partes del proceso),</w:t>
      </w:r>
      <w:r w:rsidRPr="00D05444">
        <w:rPr>
          <w:rFonts w:ascii="Palatino Linotype" w:hAnsi="Palatino Linotype" w:cs="Tahoma"/>
        </w:rPr>
        <w:t xml:space="preserve"> lo consiguiente es vislumbrar, más a fondo, cómo opera dicho control. Para ello, cabe citar la Tesis Aislada (Común) I.4o.A.18 K (10a.) de Tribunales Colegiados de Circuito, visible en la página 1762 del Semanario Judicial de la Federación y su Gaceta, Tomo 3, Libro XX, mayo de 2013, Décima Época, de rubro y texto siguientes</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ind w:left="567" w:right="567"/>
        <w:jc w:val="both"/>
        <w:rPr>
          <w:rFonts w:ascii="Palatino Linotype" w:hAnsi="Palatino Linotype" w:cs="Tahoma"/>
          <w:b/>
          <w:sz w:val="20"/>
          <w:szCs w:val="20"/>
        </w:rPr>
      </w:pPr>
      <w:r w:rsidRPr="00D05444">
        <w:rPr>
          <w:rFonts w:ascii="Palatino Linotype" w:hAnsi="Palatino Linotype" w:cs="Tahoma"/>
          <w:b/>
          <w:sz w:val="20"/>
          <w:szCs w:val="20"/>
        </w:rPr>
        <w:t>CONTROL DIFUSO. RASGOS DISTINTIVOS DE SU EJERCICIO.</w:t>
      </w:r>
    </w:p>
    <w:p w:rsidR="00D05444" w:rsidRPr="00D05444" w:rsidRDefault="00D05444" w:rsidP="00D05444">
      <w:pPr>
        <w:spacing w:after="0" w:line="276" w:lineRule="auto"/>
        <w:ind w:left="567" w:right="567"/>
        <w:jc w:val="both"/>
        <w:rPr>
          <w:rFonts w:ascii="Palatino Linotype" w:hAnsi="Palatino Linotype" w:cs="Tahoma"/>
          <w:sz w:val="20"/>
          <w:szCs w:val="20"/>
        </w:rPr>
      </w:pPr>
    </w:p>
    <w:p w:rsidR="00D05444" w:rsidRPr="00D05444" w:rsidRDefault="00D05444" w:rsidP="00D05444">
      <w:pPr>
        <w:spacing w:after="0" w:line="276" w:lineRule="auto"/>
        <w:ind w:left="567" w:right="567"/>
        <w:jc w:val="both"/>
        <w:rPr>
          <w:rFonts w:ascii="Palatino Linotype" w:hAnsi="Palatino Linotype" w:cs="Tahoma"/>
          <w:sz w:val="20"/>
          <w:szCs w:val="20"/>
        </w:rPr>
      </w:pPr>
      <w:r w:rsidRPr="00D05444">
        <w:rPr>
          <w:rFonts w:ascii="Palatino Linotype" w:hAnsi="Palatino Linotype" w:cs="Tahoma"/>
          <w:sz w:val="20"/>
          <w:szCs w:val="20"/>
        </w:rPr>
        <w:t xml:space="preserve">El "sistema difuso" es aquel en el cual el examen de compatibilidad de los actos frente a la Constitución corresponde a todos los órganos jurisdiccionales y lo ejercitan, incidentalmente, en ocasión de la decisión de las causas de su competencia. La lógica de dicho sistema reside en que, a cada caso, debe recaer una resolución conocida como "norma individualizada", la cual se infiere o deduce a partir de la norma general, pero </w:t>
      </w:r>
      <w:r w:rsidRPr="00D05444">
        <w:rPr>
          <w:rFonts w:ascii="Palatino Linotype" w:hAnsi="Palatino Linotype" w:cs="Tahoma"/>
          <w:sz w:val="20"/>
          <w:szCs w:val="20"/>
        </w:rPr>
        <w:lastRenderedPageBreak/>
        <w:t>adecuándola o relacionándola con los hechos o circunstancias del caso concreto, por lo que la decisión se compone de un silogismo judicial que se integra por una premisa fáctica determinada por hechos o circunstancias conforme a las cuales, deberá construirse una premisa normativa que otorgue la mejor solución al conflicto, esto es, cuando se ejerce el control difuso se actúa en el problema contingente y propio que impone una comprobación constitucional en el caso debatido; de ahí el efecto de la cosa juzgada -inter partes-. De manera que en este sistema, el juzgador tiene el deber de realizar una interpretación para llegar a un juicio respecto a la constitucionalidad de la decisión que pronuncia en casos concretos. Por tanto, en el supuesto de estimar que la aplicación de cierta disposición, bajo determinadas circunstancias, resulta inconstitucional, sólo puede, en casos extremos, desaplicar tal disposición en el evento concreto, resolviendo como si ésta no existiera. Así, la duda sobre su constitucionalidad siempre debe plantearse en razón de su aplicación en circunstancias particulares, aspecto que marca la diferencia respecto al control concentrado, puesto que, en este último, se cuestiona la inconstitucionalidad de una ley en abstracto; esto es, la propia norma general, pero sin apreciar los hechos concretos del caso ni la regla que rige a casos específicos, sino la ley per se, con generalidad en el pronunciamiento. Finalmente, cabe considerar que el control difuso, entendido como uno de los medios para consolidar la supremacía constitucional, tiende a buscar y conciliar el sentido o interpretación de las normas que conforman la premisa normativa, a fin de conseguir la: a) interpretación conforme en sentido amplio, de acuerdo al bloque de constitucionalidad; b) interpretación conforme en sentido estricto, si hay varios sentidos, debe elegirse el más acorde al bloque de constitucionalidad, esto es, el previsto o pretendido por la Constitución, y sólo cuando esto resulte imposible se deberá; c) inaplicar, en el caso concreto, la disposición que oriente el sentido de la premisa normativa, cuando sea indefectible un determinado sentido, en oposición al pretendido constitucionalmente, siempre en el contexto de los efectos inter partes que apareja este sistema.</w:t>
      </w:r>
    </w:p>
    <w:p w:rsidR="00D05444" w:rsidRPr="00D05444" w:rsidRDefault="00D05444" w:rsidP="00D05444">
      <w:pPr>
        <w:spacing w:after="0" w:line="276" w:lineRule="auto"/>
        <w:jc w:val="both"/>
        <w:rPr>
          <w:rFonts w:ascii="Palatino Linotype" w:hAnsi="Palatino Linotype" w:cs="Tahoma"/>
        </w:rPr>
      </w:pPr>
    </w:p>
    <w:p w:rsidR="00D05444" w:rsidRPr="00D05444" w:rsidRDefault="00436ECC" w:rsidP="00D05444">
      <w:pPr>
        <w:spacing w:after="0" w:line="276" w:lineRule="auto"/>
        <w:jc w:val="both"/>
        <w:rPr>
          <w:rFonts w:ascii="Palatino Linotype" w:hAnsi="Palatino Linotype" w:cs="Tahoma"/>
        </w:rPr>
      </w:pPr>
      <w:r>
        <w:rPr>
          <w:rFonts w:ascii="Palatino Linotype" w:hAnsi="Palatino Linotype" w:cs="Tahoma"/>
        </w:rPr>
        <w:t>De tal suerte, c</w:t>
      </w:r>
      <w:r w:rsidR="00D05444" w:rsidRPr="00D05444">
        <w:rPr>
          <w:rFonts w:ascii="Palatino Linotype" w:hAnsi="Palatino Linotype" w:cs="Tahoma"/>
        </w:rPr>
        <w:t xml:space="preserve">omo </w:t>
      </w:r>
      <w:r>
        <w:rPr>
          <w:rFonts w:ascii="Palatino Linotype" w:hAnsi="Palatino Linotype" w:cs="Tahoma"/>
        </w:rPr>
        <w:t>hemos precisado</w:t>
      </w:r>
      <w:r w:rsidR="00D05444" w:rsidRPr="00D05444">
        <w:rPr>
          <w:rFonts w:ascii="Palatino Linotype" w:hAnsi="Palatino Linotype" w:cs="Tahoma"/>
        </w:rPr>
        <w:t xml:space="preserve">, la operación del control difuso de constitucionalidad corresponde a todos los órganos jurisdiccionales y su ejercicio implica un examen de compatibilidad de los actos frente a la Constitución, en ese sentido, la lógica de dicho sistema implica la individualización de una norma general para su aplicación en un caso concreto, lo que no es más que un ejercicio de contextualización, en el que bien pudiera ser que una norma cuya pretensión es resguardar de manera general el bienestar de la población, aplicada a un caso determinado, lesiona un derecho humano fundamental para una de las partes en litigio, por lo que bajo una interpretación conforme a la Constitución y </w:t>
      </w:r>
      <w:r w:rsidR="00D05444" w:rsidRPr="00D05444">
        <w:rPr>
          <w:rFonts w:ascii="Palatino Linotype" w:hAnsi="Palatino Linotype" w:cs="Tahoma"/>
        </w:rPr>
        <w:lastRenderedPageBreak/>
        <w:t>los Tratados Internacionales, debe buscarse y conciliarse el sentido o interpretación de las normas que conforman la premisa normativa, a fin de conseguir la: a) interpretación conforme en sentido amplio, de acuerdo al bloque de constitucionalidad; b) interpretación conforme en sentido estricto, si hay varios sentidos, debe elegirse el más acorde al bloque de constitucionalidad, esto es, el previsto o pretendido por la Constitución, y sólo cuando esto resulte imposible se deberá; c) inaplicar, en el caso concreto, la disposición que oriente el sentido de la premisa normativa, cuando sea indefectible un determinado sentido, en oposición al pretendido constitucionalmente, siempre en el contexto de los efectos inter partes que apareja este sistema.</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Esto es, el control difuso de constitucionalidad implica la interpretación de una norma determinada conforme a la Constitución y los Tratados Internacionales en Derechos Humanos, para resolver su aplicación en un caso determinado. Así, lo que subsiste en el fondo del análisis, es la constitucionalidad de la aplicabilidad de una norma dentro de un contexto determinado</w:t>
      </w:r>
      <w:r w:rsidR="00436ECC">
        <w:rPr>
          <w:rFonts w:ascii="Palatino Linotype" w:hAnsi="Palatino Linotype" w:cs="Tahoma"/>
        </w:rPr>
        <w:t>.</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Por tanto, como bien lo señala la Tesis 2a./J. 16/2014 (10a.), las autoridades jurisdiccionales ordinarias, para hacer respetar los derechos humanos establecidos en la Constitución y en los tratados internacionales de los que el Estado Mexicano sea parte, pueden inaplicar leyes secundarias, lo que constituye un control difuso de su constitucionalidad.</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 xml:space="preserve">Con base en los argumentos expuestos hasta aquí, válidamente se puede concluir que el control difuso de constitucionalidad </w:t>
      </w:r>
      <w:r w:rsidR="00BD1F6E" w:rsidRPr="00D05444">
        <w:rPr>
          <w:rFonts w:ascii="Palatino Linotype" w:hAnsi="Palatino Linotype" w:cs="Tahoma"/>
        </w:rPr>
        <w:t>s</w:t>
      </w:r>
      <w:r w:rsidR="00BD1F6E">
        <w:rPr>
          <w:rFonts w:ascii="Palatino Linotype" w:hAnsi="Palatino Linotype" w:cs="Tahoma"/>
        </w:rPr>
        <w:t>ó</w:t>
      </w:r>
      <w:r w:rsidR="00BD1F6E" w:rsidRPr="00D05444">
        <w:rPr>
          <w:rFonts w:ascii="Palatino Linotype" w:hAnsi="Palatino Linotype" w:cs="Tahoma"/>
        </w:rPr>
        <w:t xml:space="preserve">lo </w:t>
      </w:r>
      <w:r w:rsidRPr="00D05444">
        <w:rPr>
          <w:rFonts w:ascii="Palatino Linotype" w:hAnsi="Palatino Linotype" w:cs="Tahoma"/>
        </w:rPr>
        <w:t xml:space="preserve">puede ser ejercido por autoridad jurisdiccional ordinaria, mediante una interpretación conforme a la Constitución y los Tratados Internacionales en Derechos Humanos. </w:t>
      </w:r>
    </w:p>
    <w:p w:rsidR="00D05444" w:rsidRPr="00D05444" w:rsidRDefault="00D05444" w:rsidP="00D05444">
      <w:pPr>
        <w:spacing w:after="0" w:line="276" w:lineRule="auto"/>
        <w:jc w:val="both"/>
        <w:rPr>
          <w:rFonts w:ascii="Palatino Linotype" w:hAnsi="Palatino Linotype" w:cs="Tahoma"/>
        </w:rPr>
      </w:pPr>
    </w:p>
    <w:p w:rsidR="00FB72A2" w:rsidRDefault="00D05444" w:rsidP="00D05444">
      <w:pPr>
        <w:spacing w:after="0" w:line="276" w:lineRule="auto"/>
        <w:jc w:val="both"/>
        <w:rPr>
          <w:rFonts w:ascii="Palatino Linotype" w:hAnsi="Palatino Linotype" w:cs="Tahoma"/>
        </w:rPr>
      </w:pPr>
      <w:r w:rsidRPr="00D05444">
        <w:rPr>
          <w:rFonts w:ascii="Palatino Linotype" w:hAnsi="Palatino Linotype" w:cs="Tahoma"/>
        </w:rPr>
        <w:t xml:space="preserve">De ahí que, se puede </w:t>
      </w:r>
      <w:r w:rsidR="00FB72A2">
        <w:rPr>
          <w:rFonts w:ascii="Palatino Linotype" w:hAnsi="Palatino Linotype" w:cs="Tahoma"/>
        </w:rPr>
        <w:t>concluir</w:t>
      </w:r>
      <w:r w:rsidR="00FB72A2" w:rsidRPr="00D05444">
        <w:rPr>
          <w:rFonts w:ascii="Palatino Linotype" w:hAnsi="Palatino Linotype" w:cs="Tahoma"/>
        </w:rPr>
        <w:t xml:space="preserve"> </w:t>
      </w:r>
      <w:r w:rsidRPr="00D05444">
        <w:rPr>
          <w:rFonts w:ascii="Palatino Linotype" w:hAnsi="Palatino Linotype" w:cs="Tahoma"/>
        </w:rPr>
        <w:t xml:space="preserve">que este Instituto no tiene facultades para ejercer un control de constitucionalidad difuso, pues, en primer lugar, ninguno de los integrantes del Pleno tenemos reconocido el carácter de autoridad jurisdiccional, lo que trae como consecuencia, que </w:t>
      </w:r>
      <w:r w:rsidR="00FB72A2">
        <w:rPr>
          <w:rFonts w:ascii="Palatino Linotype" w:hAnsi="Palatino Linotype" w:cs="Tahoma"/>
        </w:rPr>
        <w:t xml:space="preserve">si bien, el artículo 8° de la Ley de Transparencia y Acceso a la Información Pública del Estado de México y Municipios, refiere que el derecho de acceso a la información y la clasificación de información se interpretarán conforme a los principios establecidos en la Constitución Federal, los tratados internacionales de los que el Estado Mexicano sea parte, la Ley General de Transparencia y Acceso a la Información Pública, la Constitución Local y </w:t>
      </w:r>
      <w:r w:rsidR="00FB72A2">
        <w:rPr>
          <w:rFonts w:ascii="Palatino Linotype" w:hAnsi="Palatino Linotype" w:cs="Tahoma"/>
        </w:rPr>
        <w:lastRenderedPageBreak/>
        <w:t>la Ley en cita, ello no trae aparejado las consecuencias jurídicas del control difuso que realizan las autoridades jurisdiccionales.</w:t>
      </w:r>
      <w:bookmarkStart w:id="0" w:name="_GoBack"/>
      <w:bookmarkEnd w:id="0"/>
    </w:p>
    <w:p w:rsidR="00FB72A2" w:rsidRDefault="00FB72A2" w:rsidP="00D05444">
      <w:pPr>
        <w:spacing w:after="0" w:line="276" w:lineRule="auto"/>
        <w:jc w:val="both"/>
        <w:rPr>
          <w:rFonts w:ascii="Palatino Linotype" w:hAnsi="Palatino Linotype" w:cs="Tahoma"/>
        </w:rPr>
      </w:pPr>
    </w:p>
    <w:p w:rsidR="00D05444" w:rsidRPr="00D05444" w:rsidRDefault="006669EC" w:rsidP="00D05444">
      <w:pPr>
        <w:spacing w:after="0" w:line="276" w:lineRule="auto"/>
        <w:jc w:val="both"/>
        <w:rPr>
          <w:rFonts w:ascii="Palatino Linotype" w:hAnsi="Palatino Linotype" w:cs="Tahoma"/>
        </w:rPr>
      </w:pPr>
      <w:r>
        <w:rPr>
          <w:rFonts w:ascii="Palatino Linotype" w:hAnsi="Palatino Linotype" w:cs="Tahoma"/>
        </w:rPr>
        <w:t>En efecto,</w:t>
      </w:r>
      <w:r w:rsidR="00D05444" w:rsidRPr="00D05444">
        <w:rPr>
          <w:rFonts w:ascii="Palatino Linotype" w:hAnsi="Palatino Linotype" w:cs="Tahoma"/>
        </w:rPr>
        <w:t xml:space="preserve"> este Instituto no tiene facultad para llevar a cabo un control difuso de constitucionalidad, lo cierto es que, como toda autoridad en territorio mexicano, tienen la obligación de aplicar las normas correspondientes haciendo la interpretación más favorable a la persona para lograr su protección más amplia, sin tener la posibilidad de inaplicar o declarar su inconstitucionalidad. Ello se logra bajo el principio pro persona, el cual consistente en optar, dentro del catálogo de normas, por aquella que otorgue una protección más amplia a los derechos fundamentales, o la que restringa en menor medida los mismos, o bien, mediante la interpretación extensiva de la norma aplicable, con la finalidad de proteger de manera amplia los derechos fundamentales, o una interpretación restringida del dispositivo normativo, si se busca establecer restricciones al ejercicio de los derechos.</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 xml:space="preserve">En resumen, esta </w:t>
      </w:r>
      <w:r w:rsidR="00E64E8C">
        <w:rPr>
          <w:rFonts w:ascii="Palatino Linotype" w:hAnsi="Palatino Linotype" w:cs="Tahoma"/>
        </w:rPr>
        <w:t>A</w:t>
      </w:r>
      <w:r w:rsidRPr="00D05444">
        <w:rPr>
          <w:rFonts w:ascii="Palatino Linotype" w:hAnsi="Palatino Linotype" w:cs="Tahoma"/>
        </w:rPr>
        <w:t xml:space="preserve">utoridad </w:t>
      </w:r>
      <w:r w:rsidR="00E64E8C" w:rsidRPr="00D05444">
        <w:rPr>
          <w:rFonts w:ascii="Palatino Linotype" w:hAnsi="Palatino Linotype" w:cs="Tahoma"/>
        </w:rPr>
        <w:t>Resolutora</w:t>
      </w:r>
      <w:r w:rsidRPr="00D05444">
        <w:rPr>
          <w:rFonts w:ascii="Palatino Linotype" w:hAnsi="Palatino Linotype" w:cs="Tahoma"/>
        </w:rPr>
        <w:t xml:space="preserve"> únicamente puede actuar bajo el principio pro persona y aplicar la noma más amplia o menos restrictiva, o bien interpretar la norma de manera tal que permita una protección extensa o restringida del derecho de acceso a la información, sin que ello implique el elaborar un análisis de interpretación conforme a la Constitución y los Tratados Internacionales, pues en el fondo, se estaría analizando la inconstitucionalidad de la aplicabilidad de una norma en un contexto determinado, lo cual únicamente compete a las autoridades jurisdiccionales. </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Bajo esa lógica, estimo que hablar de un control de constitucionalidad difuso en manos de este Instituto, es exceder las facultades que constitucionalmente nos han sido conferidas.</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 xml:space="preserve">Así, con base en los razonamientos expuestos, se emite la presente </w:t>
      </w:r>
      <w:r w:rsidR="00E64E8C">
        <w:rPr>
          <w:rFonts w:ascii="Palatino Linotype" w:hAnsi="Palatino Linotype" w:cs="Tahoma"/>
        </w:rPr>
        <w:t>O</w:t>
      </w:r>
      <w:r w:rsidR="00E64E8C" w:rsidRPr="00D05444">
        <w:rPr>
          <w:rFonts w:ascii="Palatino Linotype" w:hAnsi="Palatino Linotype" w:cs="Tahoma"/>
        </w:rPr>
        <w:t xml:space="preserve">pinión </w:t>
      </w:r>
      <w:r w:rsidR="00E64E8C">
        <w:rPr>
          <w:rFonts w:ascii="Palatino Linotype" w:hAnsi="Palatino Linotype" w:cs="Tahoma"/>
        </w:rPr>
        <w:t>P</w:t>
      </w:r>
      <w:r w:rsidR="00E64E8C" w:rsidRPr="00D05444">
        <w:rPr>
          <w:rFonts w:ascii="Palatino Linotype" w:hAnsi="Palatino Linotype" w:cs="Tahoma"/>
        </w:rPr>
        <w:t>articular</w:t>
      </w:r>
      <w:r w:rsidRPr="00D05444">
        <w:rPr>
          <w:rFonts w:ascii="Palatino Linotype" w:hAnsi="Palatino Linotype" w:cs="Tahoma"/>
        </w:rPr>
        <w:t>.</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center"/>
        <w:rPr>
          <w:rFonts w:ascii="Palatino Linotype" w:hAnsi="Palatino Linotype" w:cs="Tahoma"/>
          <w:b/>
        </w:rPr>
      </w:pPr>
      <w:r w:rsidRPr="00D05444">
        <w:rPr>
          <w:rFonts w:ascii="Palatino Linotype" w:hAnsi="Palatino Linotype" w:cs="Tahoma"/>
          <w:b/>
        </w:rPr>
        <w:t>(Rúbrica)</w:t>
      </w:r>
    </w:p>
    <w:p w:rsidR="00D05444" w:rsidRPr="00D05444" w:rsidRDefault="00D05444" w:rsidP="00D05444">
      <w:pPr>
        <w:spacing w:after="0" w:line="276" w:lineRule="auto"/>
        <w:jc w:val="center"/>
        <w:rPr>
          <w:rFonts w:ascii="Palatino Linotype" w:hAnsi="Palatino Linotype" w:cs="Tahoma"/>
        </w:rPr>
      </w:pPr>
      <w:r w:rsidRPr="00D05444">
        <w:rPr>
          <w:rFonts w:ascii="Palatino Linotype" w:hAnsi="Palatino Linotype" w:cs="Tahoma"/>
        </w:rPr>
        <w:t>Luis Gustavo Parra Noriega</w:t>
      </w:r>
    </w:p>
    <w:p w:rsidR="00D05444" w:rsidRPr="00D05444" w:rsidRDefault="00D05444" w:rsidP="00D05444">
      <w:pPr>
        <w:spacing w:after="0" w:line="276" w:lineRule="auto"/>
        <w:jc w:val="center"/>
        <w:rPr>
          <w:rFonts w:ascii="Palatino Linotype" w:hAnsi="Palatino Linotype" w:cs="Tahoma"/>
          <w:b/>
        </w:rPr>
      </w:pPr>
      <w:r w:rsidRPr="00D05444">
        <w:rPr>
          <w:rFonts w:ascii="Palatino Linotype" w:hAnsi="Palatino Linotype" w:cs="Tahoma"/>
          <w:b/>
        </w:rPr>
        <w:t>Comisionado</w:t>
      </w:r>
    </w:p>
    <w:p w:rsidR="00D05444" w:rsidRPr="00D05444" w:rsidRDefault="00D05444" w:rsidP="00D05444">
      <w:pPr>
        <w:spacing w:after="0" w:line="276" w:lineRule="auto"/>
        <w:jc w:val="both"/>
        <w:rPr>
          <w:rFonts w:ascii="Palatino Linotype" w:hAnsi="Palatino Linotype" w:cs="Tahoma"/>
        </w:rPr>
      </w:pPr>
    </w:p>
    <w:p w:rsidR="003512C9" w:rsidRPr="00D05444" w:rsidRDefault="003512C9" w:rsidP="00D05444">
      <w:pPr>
        <w:spacing w:after="0" w:line="276" w:lineRule="auto"/>
        <w:jc w:val="both"/>
        <w:rPr>
          <w:rFonts w:ascii="Palatino Linotype" w:hAnsi="Palatino Linotype" w:cs="Tahoma"/>
        </w:rPr>
      </w:pPr>
    </w:p>
    <w:sectPr w:rsidR="003512C9" w:rsidRPr="00D05444"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6C0" w:rsidRDefault="005056C0" w:rsidP="00EE29F6">
      <w:pPr>
        <w:spacing w:after="0" w:line="240" w:lineRule="auto"/>
      </w:pPr>
      <w:r>
        <w:separator/>
      </w:r>
    </w:p>
  </w:endnote>
  <w:endnote w:type="continuationSeparator" w:id="0">
    <w:p w:rsidR="005056C0" w:rsidRDefault="005056C0"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AE33E7">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E33E7">
              <w:rPr>
                <w:b/>
                <w:bCs/>
                <w:noProof/>
              </w:rPr>
              <w:t>6</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6C0" w:rsidRDefault="005056C0" w:rsidP="00EE29F6">
      <w:pPr>
        <w:spacing w:after="0" w:line="240" w:lineRule="auto"/>
      </w:pPr>
      <w:r>
        <w:separator/>
      </w:r>
    </w:p>
  </w:footnote>
  <w:footnote w:type="continuationSeparator" w:id="0">
    <w:p w:rsidR="005056C0" w:rsidRDefault="005056C0" w:rsidP="00EE29F6">
      <w:pPr>
        <w:spacing w:after="0" w:line="240" w:lineRule="auto"/>
      </w:pPr>
      <w:r>
        <w:continuationSeparator/>
      </w:r>
    </w:p>
  </w:footnote>
  <w:footnote w:id="1">
    <w:p w:rsidR="00D05444" w:rsidRPr="006D13CA" w:rsidRDefault="00D05444" w:rsidP="00D05444">
      <w:pPr>
        <w:pStyle w:val="Textonotapie"/>
        <w:rPr>
          <w:lang w:val="es-MX"/>
        </w:rPr>
      </w:pPr>
      <w:r>
        <w:rPr>
          <w:rStyle w:val="Refdenotaalpie"/>
        </w:rPr>
        <w:footnoteRef/>
      </w:r>
      <w:r>
        <w:t xml:space="preserve"> </w:t>
      </w:r>
      <w:r>
        <w:rPr>
          <w:lang w:val="es-MX"/>
        </w:rPr>
        <w:t>SUPREMA CORTE DE JUSTICIA DE LA NACIÓN, Grandes temas de la constitucionalismo mexicano, la defensa de la Constitución, México, SCJN, 2005, p. 16.</w:t>
      </w:r>
    </w:p>
  </w:footnote>
  <w:footnote w:id="2">
    <w:p w:rsidR="00D05444" w:rsidRPr="00605D4F" w:rsidRDefault="00D05444" w:rsidP="00D05444">
      <w:pPr>
        <w:pStyle w:val="Textonotapie"/>
        <w:rPr>
          <w:lang w:val="es-MX"/>
        </w:rPr>
      </w:pPr>
      <w:r>
        <w:rPr>
          <w:rStyle w:val="Refdenotaalpie"/>
        </w:rPr>
        <w:footnoteRef/>
      </w:r>
      <w:r>
        <w:t xml:space="preserve"> </w:t>
      </w:r>
      <w:r>
        <w:rPr>
          <w:lang w:val="es-MX"/>
        </w:rPr>
        <w:t xml:space="preserve">Recuperado de: </w:t>
      </w:r>
      <w:hyperlink r:id="rId1" w:history="1">
        <w:r w:rsidRPr="00F022CE">
          <w:rPr>
            <w:rStyle w:val="Hipervnculo"/>
            <w:lang w:val="es-MX"/>
          </w:rPr>
          <w:t>https://archivos.juridicas.unam.mx/www/bjv/libros/7/3084/4.pdf</w:t>
        </w:r>
      </w:hyperlink>
      <w:r>
        <w:rPr>
          <w:lang w:val="es-MX"/>
        </w:rPr>
        <w:t>, p. 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5245"/>
    </w:tblGrid>
    <w:tr w:rsidR="00363357" w:rsidRPr="001106EA" w:rsidTr="00D05444">
      <w:trPr>
        <w:trHeight w:val="1843"/>
      </w:trPr>
      <w:tc>
        <w:tcPr>
          <w:tcW w:w="3544"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5245" w:type="dxa"/>
          <w:vAlign w:val="center"/>
        </w:tcPr>
        <w:p w:rsidR="00363357" w:rsidRPr="00085241" w:rsidRDefault="003C0497" w:rsidP="00D05444">
          <w:pPr>
            <w:pStyle w:val="Encabezado"/>
            <w:jc w:val="both"/>
            <w:rPr>
              <w:rFonts w:ascii="Palatino Linotype" w:hAnsi="Palatino Linotype" w:cs="Tahoma"/>
              <w:b/>
            </w:rPr>
          </w:pPr>
          <w:r>
            <w:rPr>
              <w:rFonts w:ascii="Palatino Linotype" w:hAnsi="Palatino Linotype" w:cs="Tahoma"/>
              <w:b/>
            </w:rPr>
            <w:t>Opinión</w:t>
          </w:r>
          <w:r w:rsidR="00363357" w:rsidRPr="00085241">
            <w:rPr>
              <w:rFonts w:ascii="Palatino Linotype" w:hAnsi="Palatino Linotype" w:cs="Tahoma"/>
              <w:b/>
            </w:rPr>
            <w:t xml:space="preserve"> Particular</w:t>
          </w:r>
        </w:p>
        <w:p w:rsidR="00104333" w:rsidRPr="00085241" w:rsidRDefault="00D05444" w:rsidP="00D05444">
          <w:pPr>
            <w:pStyle w:val="Encabezado"/>
            <w:jc w:val="both"/>
            <w:rPr>
              <w:rFonts w:ascii="Palatino Linotype" w:hAnsi="Palatino Linotype" w:cs="Tahoma"/>
              <w:b/>
            </w:rPr>
          </w:pPr>
          <w:r>
            <w:rPr>
              <w:rFonts w:ascii="Palatino Linotype" w:hAnsi="Palatino Linotype" w:cs="Tahoma"/>
              <w:b/>
            </w:rPr>
            <w:t>Recurso de Revisión: 03824</w:t>
          </w:r>
          <w:r w:rsidR="00363357" w:rsidRPr="00085241">
            <w:rPr>
              <w:rFonts w:ascii="Palatino Linotype" w:hAnsi="Palatino Linotype" w:cs="Tahoma"/>
              <w:b/>
            </w:rPr>
            <w:t>/INFOEM/IP/RR/201</w:t>
          </w:r>
          <w:r w:rsidR="00104333" w:rsidRPr="00085241">
            <w:rPr>
              <w:rFonts w:ascii="Palatino Linotype" w:hAnsi="Palatino Linotype" w:cs="Tahoma"/>
              <w:b/>
            </w:rPr>
            <w:t>8</w:t>
          </w:r>
        </w:p>
        <w:p w:rsidR="00DF2784" w:rsidRPr="00085241" w:rsidRDefault="00DF2784" w:rsidP="00D05444">
          <w:pPr>
            <w:pStyle w:val="Encabezado"/>
            <w:jc w:val="both"/>
            <w:rPr>
              <w:rFonts w:ascii="Palatino Linotype" w:hAnsi="Palatino Linotype" w:cs="Tahoma"/>
              <w:b/>
            </w:rPr>
          </w:pPr>
          <w:r w:rsidRPr="00085241">
            <w:rPr>
              <w:rFonts w:ascii="Palatino Linotype" w:hAnsi="Palatino Linotype" w:cs="Tahoma"/>
              <w:b/>
            </w:rPr>
            <w:t xml:space="preserve">Sujeto Obligado: </w:t>
          </w:r>
          <w:r w:rsidR="00D05444">
            <w:rPr>
              <w:rFonts w:ascii="Palatino Linotype" w:hAnsi="Palatino Linotype" w:cs="Tahoma"/>
              <w:b/>
            </w:rPr>
            <w:t>Comisión para la Protección contra Riesgos Sanitarios del Estado de México</w:t>
          </w:r>
        </w:p>
        <w:p w:rsidR="00363357" w:rsidRPr="001106EA" w:rsidRDefault="00363357" w:rsidP="00D05444">
          <w:pPr>
            <w:pStyle w:val="Encabezado"/>
            <w:jc w:val="both"/>
            <w:rPr>
              <w:rFonts w:ascii="Tahoma" w:hAnsi="Tahoma" w:cs="Tahoma"/>
            </w:rPr>
          </w:pPr>
          <w:r w:rsidRPr="00085241">
            <w:rPr>
              <w:rFonts w:ascii="Palatino Linotype" w:hAnsi="Palatino Linotype" w:cs="Tahoma"/>
              <w:b/>
            </w:rPr>
            <w:t xml:space="preserve">Comisionada Ponente: </w:t>
          </w:r>
          <w:r w:rsidR="00021F98">
            <w:rPr>
              <w:rFonts w:ascii="Palatino Linotype" w:hAnsi="Palatino Linotype" w:cs="Tahoma"/>
              <w:b/>
            </w:rPr>
            <w:t>José Guadalupe Luna Hernández</w:t>
          </w:r>
          <w:r w:rsidR="00792848">
            <w:rPr>
              <w:rFonts w:ascii="Palatino Linotype" w:hAnsi="Palatino Linotype" w:cs="Tahoma"/>
              <w:b/>
            </w:rPr>
            <w:t xml:space="preserve"> </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0"/>
  </w:num>
  <w:num w:numId="5">
    <w:abstractNumId w:val="12"/>
  </w:num>
  <w:num w:numId="6">
    <w:abstractNumId w:val="3"/>
  </w:num>
  <w:num w:numId="7">
    <w:abstractNumId w:val="9"/>
  </w:num>
  <w:num w:numId="8">
    <w:abstractNumId w:val="16"/>
  </w:num>
  <w:num w:numId="9">
    <w:abstractNumId w:val="13"/>
  </w:num>
  <w:num w:numId="10">
    <w:abstractNumId w:val="14"/>
  </w:num>
  <w:num w:numId="11">
    <w:abstractNumId w:val="15"/>
  </w:num>
  <w:num w:numId="12">
    <w:abstractNumId w:val="1"/>
  </w:num>
  <w:num w:numId="13">
    <w:abstractNumId w:val="8"/>
  </w:num>
  <w:num w:numId="14">
    <w:abstractNumId w:val="17"/>
  </w:num>
  <w:num w:numId="15">
    <w:abstractNumId w:val="6"/>
  </w:num>
  <w:num w:numId="16">
    <w:abstractNumId w:val="7"/>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20D08"/>
    <w:rsid w:val="00021F98"/>
    <w:rsid w:val="00023B3D"/>
    <w:rsid w:val="0002483E"/>
    <w:rsid w:val="000253E5"/>
    <w:rsid w:val="0002627D"/>
    <w:rsid w:val="0002759D"/>
    <w:rsid w:val="000301C6"/>
    <w:rsid w:val="00042397"/>
    <w:rsid w:val="000466A3"/>
    <w:rsid w:val="00056BD3"/>
    <w:rsid w:val="00060F74"/>
    <w:rsid w:val="0006561A"/>
    <w:rsid w:val="00085241"/>
    <w:rsid w:val="0008691F"/>
    <w:rsid w:val="00087AC8"/>
    <w:rsid w:val="0009277A"/>
    <w:rsid w:val="00097988"/>
    <w:rsid w:val="00097A79"/>
    <w:rsid w:val="000B235B"/>
    <w:rsid w:val="000B61DD"/>
    <w:rsid w:val="000B7F6F"/>
    <w:rsid w:val="000C10B7"/>
    <w:rsid w:val="000C6052"/>
    <w:rsid w:val="000D186F"/>
    <w:rsid w:val="000E64B7"/>
    <w:rsid w:val="000F1CD2"/>
    <w:rsid w:val="00104333"/>
    <w:rsid w:val="0010688C"/>
    <w:rsid w:val="001106EA"/>
    <w:rsid w:val="001159DC"/>
    <w:rsid w:val="00116E1A"/>
    <w:rsid w:val="00136AD8"/>
    <w:rsid w:val="0014038B"/>
    <w:rsid w:val="00140A57"/>
    <w:rsid w:val="0014736A"/>
    <w:rsid w:val="00161815"/>
    <w:rsid w:val="00162325"/>
    <w:rsid w:val="00164625"/>
    <w:rsid w:val="00164BFE"/>
    <w:rsid w:val="0018472D"/>
    <w:rsid w:val="00193AA8"/>
    <w:rsid w:val="00197A72"/>
    <w:rsid w:val="001A145C"/>
    <w:rsid w:val="001A6BD9"/>
    <w:rsid w:val="001C1C64"/>
    <w:rsid w:val="001C363A"/>
    <w:rsid w:val="001C7C6D"/>
    <w:rsid w:val="0020052A"/>
    <w:rsid w:val="00220D45"/>
    <w:rsid w:val="00231B68"/>
    <w:rsid w:val="00243A13"/>
    <w:rsid w:val="00246FAF"/>
    <w:rsid w:val="002634BE"/>
    <w:rsid w:val="00273B3C"/>
    <w:rsid w:val="0028037C"/>
    <w:rsid w:val="002816CB"/>
    <w:rsid w:val="00295BA5"/>
    <w:rsid w:val="002A138B"/>
    <w:rsid w:val="002A1727"/>
    <w:rsid w:val="002A2EE7"/>
    <w:rsid w:val="002B0E4A"/>
    <w:rsid w:val="002B2877"/>
    <w:rsid w:val="002C2405"/>
    <w:rsid w:val="002C7EBD"/>
    <w:rsid w:val="002E4A9A"/>
    <w:rsid w:val="002E5A1A"/>
    <w:rsid w:val="00333B7A"/>
    <w:rsid w:val="00344DD1"/>
    <w:rsid w:val="003512C9"/>
    <w:rsid w:val="00363357"/>
    <w:rsid w:val="00390188"/>
    <w:rsid w:val="003973A2"/>
    <w:rsid w:val="003A6218"/>
    <w:rsid w:val="003B5F3A"/>
    <w:rsid w:val="003B6547"/>
    <w:rsid w:val="003B7A5E"/>
    <w:rsid w:val="003C0497"/>
    <w:rsid w:val="003C374F"/>
    <w:rsid w:val="003F2426"/>
    <w:rsid w:val="003F48C2"/>
    <w:rsid w:val="003F7CBE"/>
    <w:rsid w:val="0040139C"/>
    <w:rsid w:val="00412CB2"/>
    <w:rsid w:val="004211BB"/>
    <w:rsid w:val="00433746"/>
    <w:rsid w:val="00434B91"/>
    <w:rsid w:val="00434C88"/>
    <w:rsid w:val="00435E69"/>
    <w:rsid w:val="00436ECC"/>
    <w:rsid w:val="0044391A"/>
    <w:rsid w:val="004452E2"/>
    <w:rsid w:val="00445BDF"/>
    <w:rsid w:val="00447F6F"/>
    <w:rsid w:val="00450B68"/>
    <w:rsid w:val="0045695E"/>
    <w:rsid w:val="00467ACB"/>
    <w:rsid w:val="00485822"/>
    <w:rsid w:val="00490F50"/>
    <w:rsid w:val="004A4555"/>
    <w:rsid w:val="004A555E"/>
    <w:rsid w:val="004B08C4"/>
    <w:rsid w:val="004B1DF6"/>
    <w:rsid w:val="004B541F"/>
    <w:rsid w:val="004B674B"/>
    <w:rsid w:val="004C4912"/>
    <w:rsid w:val="004C6E57"/>
    <w:rsid w:val="004E4CA3"/>
    <w:rsid w:val="004E7007"/>
    <w:rsid w:val="004F0B86"/>
    <w:rsid w:val="005056C0"/>
    <w:rsid w:val="00511E06"/>
    <w:rsid w:val="0052260F"/>
    <w:rsid w:val="00524DA5"/>
    <w:rsid w:val="00526DBD"/>
    <w:rsid w:val="00543DF4"/>
    <w:rsid w:val="00544812"/>
    <w:rsid w:val="00550AA5"/>
    <w:rsid w:val="00553ADE"/>
    <w:rsid w:val="0056120D"/>
    <w:rsid w:val="0056175F"/>
    <w:rsid w:val="00577080"/>
    <w:rsid w:val="00582CCB"/>
    <w:rsid w:val="00584D73"/>
    <w:rsid w:val="0059329D"/>
    <w:rsid w:val="005A2510"/>
    <w:rsid w:val="005C094E"/>
    <w:rsid w:val="005C73EE"/>
    <w:rsid w:val="005D11C8"/>
    <w:rsid w:val="005E2798"/>
    <w:rsid w:val="005E71CF"/>
    <w:rsid w:val="00600164"/>
    <w:rsid w:val="00600323"/>
    <w:rsid w:val="00605683"/>
    <w:rsid w:val="006248F2"/>
    <w:rsid w:val="00624DE5"/>
    <w:rsid w:val="00627F2B"/>
    <w:rsid w:val="00645087"/>
    <w:rsid w:val="00651B2B"/>
    <w:rsid w:val="00654ACD"/>
    <w:rsid w:val="00657396"/>
    <w:rsid w:val="006669EC"/>
    <w:rsid w:val="00682003"/>
    <w:rsid w:val="00684B16"/>
    <w:rsid w:val="006B16FE"/>
    <w:rsid w:val="006B6D1A"/>
    <w:rsid w:val="006D1775"/>
    <w:rsid w:val="006F5316"/>
    <w:rsid w:val="007071CF"/>
    <w:rsid w:val="00722FE9"/>
    <w:rsid w:val="00724F08"/>
    <w:rsid w:val="007378E2"/>
    <w:rsid w:val="00742A15"/>
    <w:rsid w:val="0077694E"/>
    <w:rsid w:val="00781082"/>
    <w:rsid w:val="007849A1"/>
    <w:rsid w:val="00792848"/>
    <w:rsid w:val="007A1071"/>
    <w:rsid w:val="007A2D13"/>
    <w:rsid w:val="007D3257"/>
    <w:rsid w:val="007D5554"/>
    <w:rsid w:val="007E3F77"/>
    <w:rsid w:val="007F1C1D"/>
    <w:rsid w:val="007F41BF"/>
    <w:rsid w:val="007F7D80"/>
    <w:rsid w:val="00802879"/>
    <w:rsid w:val="00836BC2"/>
    <w:rsid w:val="00861757"/>
    <w:rsid w:val="008629DC"/>
    <w:rsid w:val="00874170"/>
    <w:rsid w:val="00884A10"/>
    <w:rsid w:val="00891412"/>
    <w:rsid w:val="008933AC"/>
    <w:rsid w:val="0089469D"/>
    <w:rsid w:val="008A0447"/>
    <w:rsid w:val="008A1DE1"/>
    <w:rsid w:val="008A3DA9"/>
    <w:rsid w:val="008B08C9"/>
    <w:rsid w:val="008E54E2"/>
    <w:rsid w:val="009039FE"/>
    <w:rsid w:val="00922B2E"/>
    <w:rsid w:val="00924A73"/>
    <w:rsid w:val="00926581"/>
    <w:rsid w:val="00927138"/>
    <w:rsid w:val="00927BD1"/>
    <w:rsid w:val="00941847"/>
    <w:rsid w:val="00950355"/>
    <w:rsid w:val="009541FB"/>
    <w:rsid w:val="0095470A"/>
    <w:rsid w:val="00954BF1"/>
    <w:rsid w:val="00962B86"/>
    <w:rsid w:val="00965DE9"/>
    <w:rsid w:val="00966E2F"/>
    <w:rsid w:val="00974836"/>
    <w:rsid w:val="00993790"/>
    <w:rsid w:val="009943E1"/>
    <w:rsid w:val="009B22ED"/>
    <w:rsid w:val="009B2C0B"/>
    <w:rsid w:val="009C0313"/>
    <w:rsid w:val="009D07E2"/>
    <w:rsid w:val="009D49BE"/>
    <w:rsid w:val="009E0861"/>
    <w:rsid w:val="009E41F7"/>
    <w:rsid w:val="00A0224B"/>
    <w:rsid w:val="00A074E7"/>
    <w:rsid w:val="00A13E40"/>
    <w:rsid w:val="00A14343"/>
    <w:rsid w:val="00A22273"/>
    <w:rsid w:val="00A30C52"/>
    <w:rsid w:val="00A36113"/>
    <w:rsid w:val="00A364BA"/>
    <w:rsid w:val="00A462CB"/>
    <w:rsid w:val="00A5061A"/>
    <w:rsid w:val="00A54E21"/>
    <w:rsid w:val="00A67498"/>
    <w:rsid w:val="00A742D1"/>
    <w:rsid w:val="00A87924"/>
    <w:rsid w:val="00A96933"/>
    <w:rsid w:val="00A96CE5"/>
    <w:rsid w:val="00AA090B"/>
    <w:rsid w:val="00AA261E"/>
    <w:rsid w:val="00AA38A5"/>
    <w:rsid w:val="00AC333A"/>
    <w:rsid w:val="00AD25D5"/>
    <w:rsid w:val="00AE33E7"/>
    <w:rsid w:val="00AF3B6B"/>
    <w:rsid w:val="00B15570"/>
    <w:rsid w:val="00B2355E"/>
    <w:rsid w:val="00B263C5"/>
    <w:rsid w:val="00B27BBC"/>
    <w:rsid w:val="00B30925"/>
    <w:rsid w:val="00B44B33"/>
    <w:rsid w:val="00B67355"/>
    <w:rsid w:val="00B71740"/>
    <w:rsid w:val="00B73847"/>
    <w:rsid w:val="00B7393F"/>
    <w:rsid w:val="00B761B1"/>
    <w:rsid w:val="00B80C28"/>
    <w:rsid w:val="00BB6EE3"/>
    <w:rsid w:val="00BC4882"/>
    <w:rsid w:val="00BC55D2"/>
    <w:rsid w:val="00BD06FC"/>
    <w:rsid w:val="00BD1F6E"/>
    <w:rsid w:val="00BD4705"/>
    <w:rsid w:val="00BD5DBE"/>
    <w:rsid w:val="00BE5684"/>
    <w:rsid w:val="00BE678B"/>
    <w:rsid w:val="00BF1AC9"/>
    <w:rsid w:val="00C0033F"/>
    <w:rsid w:val="00C0131C"/>
    <w:rsid w:val="00C153EC"/>
    <w:rsid w:val="00C30FD6"/>
    <w:rsid w:val="00C31FEE"/>
    <w:rsid w:val="00C55FFC"/>
    <w:rsid w:val="00C75CE0"/>
    <w:rsid w:val="00C920D4"/>
    <w:rsid w:val="00CA7627"/>
    <w:rsid w:val="00CC68E1"/>
    <w:rsid w:val="00CD4339"/>
    <w:rsid w:val="00CD6D0D"/>
    <w:rsid w:val="00CD7611"/>
    <w:rsid w:val="00CE3CDC"/>
    <w:rsid w:val="00CE46B3"/>
    <w:rsid w:val="00CE50F9"/>
    <w:rsid w:val="00CF11EE"/>
    <w:rsid w:val="00CF1B14"/>
    <w:rsid w:val="00CF432B"/>
    <w:rsid w:val="00D01247"/>
    <w:rsid w:val="00D05444"/>
    <w:rsid w:val="00D05740"/>
    <w:rsid w:val="00D11C52"/>
    <w:rsid w:val="00D13875"/>
    <w:rsid w:val="00D15D07"/>
    <w:rsid w:val="00D160F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E4452"/>
    <w:rsid w:val="00DF2784"/>
    <w:rsid w:val="00DF6CA0"/>
    <w:rsid w:val="00E145E1"/>
    <w:rsid w:val="00E26123"/>
    <w:rsid w:val="00E34559"/>
    <w:rsid w:val="00E41481"/>
    <w:rsid w:val="00E416F8"/>
    <w:rsid w:val="00E64E8C"/>
    <w:rsid w:val="00E656C1"/>
    <w:rsid w:val="00E70B5D"/>
    <w:rsid w:val="00E750E2"/>
    <w:rsid w:val="00E80E84"/>
    <w:rsid w:val="00E82F77"/>
    <w:rsid w:val="00E83683"/>
    <w:rsid w:val="00E910F8"/>
    <w:rsid w:val="00EA7E26"/>
    <w:rsid w:val="00EB7128"/>
    <w:rsid w:val="00EE29F6"/>
    <w:rsid w:val="00F030F8"/>
    <w:rsid w:val="00F05A41"/>
    <w:rsid w:val="00F14384"/>
    <w:rsid w:val="00F359F6"/>
    <w:rsid w:val="00F44957"/>
    <w:rsid w:val="00F637C1"/>
    <w:rsid w:val="00F72D12"/>
    <w:rsid w:val="00F93684"/>
    <w:rsid w:val="00FB3044"/>
    <w:rsid w:val="00FB59D6"/>
    <w:rsid w:val="00FB72A2"/>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rchivos.juridicas.unam.mx/www/bjv/libros/7/3084/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4B96A-43A5-4904-84F5-7A46FE161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2219</Words>
  <Characters>12208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cp:lastPrinted>2018-10-01T19:36:00Z</cp:lastPrinted>
  <dcterms:created xsi:type="dcterms:W3CDTF">2018-12-17T21:21:00Z</dcterms:created>
  <dcterms:modified xsi:type="dcterms:W3CDTF">2018-12-17T21:22:00Z</dcterms:modified>
</cp:coreProperties>
</file>